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556C0" w14:textId="77777777" w:rsidR="009E7CE1" w:rsidRDefault="00000000">
      <w:pPr>
        <w:spacing w:after="40"/>
        <w:jc w:val="center"/>
      </w:pPr>
      <w:r>
        <w:rPr>
          <w:b/>
          <w:bCs/>
          <w:color w:val="1B3A5C"/>
          <w:sz w:val="36"/>
          <w:szCs w:val="36"/>
        </w:rPr>
        <w:t>RAMESH DURGARAO POTNURU</w:t>
      </w:r>
    </w:p>
    <w:p w14:paraId="68FDE3BB" w14:textId="63D0B3B1" w:rsidR="009E7CE1" w:rsidRDefault="00000000">
      <w:pPr>
        <w:spacing w:after="60"/>
        <w:jc w:val="center"/>
      </w:pPr>
      <w:r>
        <w:rPr>
          <w:b/>
          <w:bCs/>
          <w:color w:val="1B3A5C"/>
          <w:sz w:val="19"/>
          <w:szCs w:val="19"/>
        </w:rPr>
        <w:t xml:space="preserve">Senior Business Analyst | Financial Services &amp; Corporate Banking | Requirements &amp; Delivery Specialist</w:t>
      </w:r>
    </w:p>
    <w:p w14:paraId="6F1670EC" w14:textId="18619178" w:rsidR="009E7CE1" w:rsidRDefault="001E35C5">
      <w:pPr>
        <w:pBdr>
          <w:bottom w:val="single" w:sz="10" w:space="0" w:color="1B3A5C"/>
        </w:pBdr>
        <w:spacing w:after="80"/>
        <w:jc w:val="center"/>
      </w:pPr>
      <w:r>
        <w:rPr>
          <w:color w:val="555555"/>
          <w:sz w:val="17"/>
          <w:szCs w:val="17"/>
        </w:rPr>
        <w:t xml:space="preserve">rameshp2402@gmail.com | +91-9959114341 | Hyderabad, India | linkedin.com/in/ramesh-potnuru</w:t>
      </w:r>
    </w:p>
    <w:p w14:paraId="4AF6EE77" w14:textId="77777777" w:rsidR="009E7CE1" w:rsidRDefault="009E7CE1">
      <w:pPr>
        <w:spacing w:after="80"/>
      </w:pPr>
    </w:p>
    <w:p w14:paraId="7E27383F" w14:textId="77777777" w:rsidR="009E7CE1" w:rsidRDefault="00000000">
      <w:pPr>
        <w:keepNext/>
        <w:pBdr>
          <w:bottom w:val="single" w:sz="8" w:space="0" w:color="1B3A5C"/>
        </w:pBdr>
        <w:spacing w:before="160" w:after="60"/>
      </w:pPr>
      <w:r>
        <w:rPr>
          <w:b/>
          <w:bCs/>
          <w:color w:val="1B3A5C"/>
          <w:sz w:val="20"/>
          <w:szCs w:val="20"/>
        </w:rPr>
        <w:t>PROFESSIONAL SUMMARY</w:t>
      </w:r>
    </w:p>
    <w:p w14:paraId="41A5D41B" w14:textId="77777777" w:rsidR="009E7CE1" w:rsidRDefault="00000000">
      <w:pPr>
        <w:spacing w:before="60" w:after="80"/>
      </w:pPr>
      <w:r>
        <w:rPr>
          <w:b/>
          <w:bCs/>
        </w:rPr>
        <w:t xml:space="preserve">Business Analyst and product builder</w:t>
      </w:r>
      <w:r>
        <w:t xml:space="preserve"> with </w:t>
      </w:r>
      <w:r>
        <w:rPr>
          <w:b/>
          <w:bCs/>
        </w:rPr>
        <w:t>19+ years of cross-industry finance experience</w:t>
      </w:r>
      <w:r>
        <w:t xml:space="preserve"> at HSBC, Electronic Arts, and Deloitte, now applying that foundation as </w:t>
      </w:r>
      <w:r>
        <w:rPr>
          <w:b/>
          <w:bCs/>
        </w:rPr>
        <w:t>Founder of an AI automation company</w:t>
      </w:r>
      <w:r>
        <w:t xml:space="preserve"> delivering products from requirements through live deployment — including a rules-based trading automation solution built end-to-end using advanced </w:t>
      </w:r>
      <w:r>
        <w:rPr>
          <w:b/>
          <w:bCs/>
        </w:rPr>
        <w:t>prompt engineering and GenAI workflows</w:t>
      </w:r>
      <w:r>
        <w:t xml:space="preserve">. Proven track record of </w:t>
      </w:r>
      <w:r>
        <w:rPr>
          <w:b/>
          <w:bCs/>
        </w:rPr>
        <w:t>translating complex business needs into structured requirements</w:t>
      </w:r>
      <w:r>
        <w:t xml:space="preserve">, managing multi-stakeholder programs, and delivering measurable process improvements across global, multi-region environments and client segments ranging from individual investors to enterprise-scale corporates. Experienced in </w:t>
      </w:r>
      <w:r>
        <w:rPr>
          <w:b/>
          <w:bCs/>
        </w:rPr>
        <w:t>requirements gathering, gap analysis, UAT leadership, stakeholder workshops, and process re-engineering</w:t>
      </w:r>
      <w:r>
        <w:t xml:space="preserve"> — consistently operating at CFO and VP level, with a demonstrated ability to </w:t>
      </w:r>
      <w:r>
        <w:rPr>
          <w:b/>
          <w:bCs/>
        </w:rPr>
        <w:t>mentor teams and manage parallel workstreams</w:t>
      </w:r>
      <w:r>
        <w:t xml:space="preserve"> with discipline and clarity.</w:t>
      </w:r>
    </w:p>
    <w:p w14:paraId="11C6D62B" w14:textId="77777777" w:rsidR="009E7CE1" w:rsidRDefault="00000000">
      <w:pPr>
        <w:keepNext/>
        <w:pBdr>
          <w:bottom w:val="single" w:sz="8" w:space="0" w:color="1B3A5C"/>
        </w:pBdr>
        <w:spacing w:before="160" w:after="60"/>
      </w:pPr>
      <w:r>
        <w:rPr>
          <w:b/>
          <w:bCs/>
          <w:color w:val="1B3A5C"/>
          <w:sz w:val="20"/>
          <w:szCs w:val="20"/>
        </w:rPr>
        <w:t>CORE COMPETENCIES</w:t>
      </w:r>
    </w:p>
    <w:p w14:paraId="1412F89B" w14:textId="77777777" w:rsidR="009E7CE1" w:rsidRDefault="00000000">
      <w:pPr>
        <w:spacing w:before="40" w:after="40"/>
      </w:pPr>
      <w:r>
        <w:rPr>
          <w:b/>
          <w:bCs/>
          <w:color w:val="1B3A5C"/>
        </w:rPr>
        <w:t xml:space="preserve">Requirements &amp; Documentation:  </w:t>
      </w:r>
      <w:r>
        <w:t>Business Requirements Documents (BRD), Functional Specifications, Use Case Documentation, RTM, Gap Analysis</w:t>
      </w:r>
    </w:p>
    <w:p w14:paraId="36D802A3" w14:textId="77777777" w:rsidR="009E7CE1" w:rsidRDefault="00000000">
      <w:pPr>
        <w:spacing w:before="40" w:after="40"/>
      </w:pPr>
      <w:r>
        <w:rPr>
          <w:b/>
          <w:bCs/>
          <w:color w:val="1B3A5C"/>
        </w:rPr>
        <w:t xml:space="preserve">Stakeholder Engagement:  </w:t>
      </w:r>
      <w:r>
        <w:t>Requirements Workshops, Executive Presentations, Cross-regional Coordination, CFO &amp; VP Level Reporting</w:t>
      </w:r>
    </w:p>
    <w:p w14:paraId="17EA0720" w14:textId="77777777" w:rsidR="009E7CE1" w:rsidRDefault="00000000">
      <w:pPr>
        <w:spacing w:before="40" w:after="40"/>
      </w:pPr>
      <w:r>
        <w:rPr>
          <w:b/>
          <w:bCs/>
          <w:color w:val="1B3A5C"/>
        </w:rPr>
        <w:t xml:space="preserve">Delivery &amp; Testing:  </w:t>
      </w:r>
      <w:r>
        <w:t>UAT Leadership, Test Case Review, Waterfall &amp; Agile Methodologies, Project Lifecycle Management</w:t>
      </w:r>
    </w:p>
    <w:p w14:paraId="08201D49" w14:textId="77777777" w:rsidR="009E7CE1" w:rsidRDefault="00000000">
      <w:pPr>
        <w:spacing w:before="40" w:after="40"/>
      </w:pPr>
      <w:r>
        <w:rPr>
          <w:b/>
          <w:bCs/>
          <w:color w:val="1B3A5C"/>
        </w:rPr>
        <w:t xml:space="preserve">Process &amp; Analysis:  </w:t>
      </w:r>
      <w:r>
        <w:t>End-to-End Process Mapping, Variance Analysis, Root Cause Analysis, Process Re-engineering, FTE Optimisation</w:t>
      </w:r>
    </w:p>
    <w:p w14:paraId="53103802" w14:textId="77777777" w:rsidR="009E7CE1" w:rsidRDefault="00000000">
      <w:pPr>
        <w:spacing w:before="40" w:after="40"/>
      </w:pPr>
      <w:r>
        <w:rPr>
          <w:b/>
          <w:bCs/>
          <w:color w:val="1B3A5C"/>
        </w:rPr>
        <w:t xml:space="preserve">Domain Knowledge:  </w:t>
      </w:r>
      <w:r>
        <w:t>Corporate Banking (HSBC Global Banking &amp; Markets), Financial Planning &amp; Analysis, Regulatory Reporting, ERP Systems</w:t>
      </w:r>
    </w:p>
    <w:p w14:paraId="3041914D" w14:textId="77777777" w:rsidR="009E7CE1" w:rsidRDefault="00000000">
      <w:pPr>
        <w:spacing w:before="40" w:after="40"/>
      </w:pPr>
      <w:r>
        <w:rPr>
          <w:b/>
          <w:bCs/>
          <w:color w:val="1B3A5C"/>
        </w:rPr>
        <w:t xml:space="preserve">Tools &amp; Platforms:  </w:t>
      </w:r>
      <w:r>
        <w:t>Hyperion Essbase, TM1, SAP, Oracle ERP, Visio, MS Office Suite, Advanced Prompt Engineering</w:t>
      </w:r>
    </w:p>
    <w:p w14:paraId="5E6FF204" w14:textId="77777777" w:rsidR="009E7CE1" w:rsidRDefault="00000000">
      <w:pPr>
        <w:spacing w:before="40" w:after="40"/>
      </w:pPr>
      <w:r>
        <w:rPr>
          <w:b/>
          <w:bCs/>
          <w:color w:val="1B3A5C"/>
        </w:rPr>
        <w:t xml:space="preserve">Mentoring &amp; Leadership:  </w:t>
      </w:r>
      <w:r>
        <w:t>Team Coaching, Appraisals, Knowledge Transfer Programs, Transition Management</w:t>
      </w:r>
    </w:p>
    <w:p w14:paraId="07A46264" w14:textId="77777777" w:rsidR="009E7CE1" w:rsidRDefault="009E7CE1">
      <w:pPr>
        <w:spacing w:after="80"/>
      </w:pPr>
    </w:p>
    <w:p w14:paraId="485F4F20" w14:textId="77777777" w:rsidR="009E7CE1" w:rsidRDefault="00000000">
      <w:pPr>
        <w:keepNext/>
        <w:pBdr>
          <w:bottom w:val="single" w:sz="8" w:space="0" w:color="1B3A5C"/>
        </w:pBdr>
        <w:spacing w:before="160" w:after="60"/>
      </w:pPr>
      <w:r>
        <w:rPr>
          <w:b/>
          <w:bCs/>
          <w:color w:val="1B3A5C"/>
          <w:sz w:val="20"/>
          <w:szCs w:val="20"/>
        </w:rPr>
        <w:t>PROFESSIONAL EXPERIENCE</w:t>
      </w:r>
    </w:p>
    <w:p>
      <w:pPr>
        <w:keepNext/>
        <w:spacing w:before="130" w:after="28"/>
      </w:pPr>
      <w:r>
        <w:rPr>
          <w:b/>
          <w:bCs/>
          <w:color w:val="1B3A5C"/>
          <w:sz w:val="20"/>
          <w:szCs w:val="20"/>
        </w:rPr>
        <w:t>Founder &amp; Managing Partner</w:t>
      </w:r>
      <w:r>
        <w:rPr>
          <w:color w:val="555555"/>
        </w:rPr>
        <w:t xml:space="preserve">  |  </w:t>
      </w:r>
      <w:r>
        <w:rPr>
          <w:b/>
          <w:bCs/>
          <w:color w:val="1B3A5C"/>
        </w:rPr>
        <w:t>Sreekar AI Technologies LLP</w:t>
      </w:r>
    </w:p>
    <w:p>
      <w:pPr>
        <w:keepNext/>
        <w:spacing w:after="60"/>
      </w:pPr>
      <w:r>
        <w:rPr>
          <w:i/>
          <w:iCs/>
          <w:color w:val="555555"/>
          <w:sz w:val="17"/>
          <w:szCs w:val="17"/>
        </w:rPr>
        <w:t xml:space="preserve">Hyderabad, India  •  February 2026 – Present</w:t>
      </w:r>
    </w:p>
    <w:p>
      <w:pPr>
        <w:keepNext/>
        <w:spacing w:before="60" w:after="55"/>
      </w:pPr>
      <w:r>
        <w:t xml:space="preserve">Founded and lead an AI automation and software solutions company serving clients across the full scale spectrum — individual investors, private practices, and small to mid-sized businesses — following a 19-year corporate finance career. Built the venture end-to-end — from initial product prototyping and market validation through formal company incorporation, product suite definition, and go-to-market execution — demonstrating the ability to scope and deliver engagements of any size, while progressing structured Business Analyst upskilling in parallel.</w:t>
      </w:r>
    </w:p>
    <w:p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 xml:space="preserve">Company Formation, Compliance &amp; Strategic Planning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Founded and incorporated </w:t>
      </w:r>
      <w:r>
        <w:rPr>
          <w:b/>
          <w:bCs/>
        </w:rPr>
        <w:t xml:space="preserve">Sreekar AI Technologies LLP</w:t>
      </w:r>
      <w:r>
        <w:t xml:space="preserve">, an AI automation and software solutions company serving clients from individual and private-practice level through to small and mid-sized businesses — securing </w:t>
      </w:r>
      <w:r>
        <w:rPr>
          <w:b/>
          <w:bCs/>
        </w:rPr>
        <w:t xml:space="preserve">DPIIT Startup recognition</w:t>
      </w:r>
      <w:r>
        <w:t xml:space="preserve"> and establishing GST-compliant invoicing, structured client estimates, and formal engagement processes from inception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Directed end-to-end </w:t>
      </w:r>
      <w:r>
        <w:rPr>
          <w:b/>
          <w:bCs/>
        </w:rPr>
        <w:t xml:space="preserve">brand and go-to-market setup</w:t>
      </w:r>
      <w:r>
        <w:t xml:space="preserve"> — commissioning the company website, business domain, and professional email infrastructure, and building live interactive product demos to establish credibility ahead of first client engagements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Pursuing </w:t>
      </w:r>
      <w:r>
        <w:rPr>
          <w:b/>
          <w:bCs/>
        </w:rPr>
        <w:t xml:space="preserve">early-stage state startup grant support</w:t>
      </w:r>
      <w:r>
        <w:t xml:space="preserve"> (Telangana T-Hub), alongside an </w:t>
      </w:r>
      <w:r>
        <w:rPr>
          <w:b/>
          <w:bCs/>
        </w:rPr>
        <w:t xml:space="preserve">active infrastructure collaboration with AWS</w:t>
      </w:r>
      <w:r>
        <w:t xml:space="preserve"> to support product scale-up</w:t>
      </w:r>
    </w:p>
    <w:p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 xml:space="preserve">Product Requirements &amp; Market Research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rPr>
          <w:b/>
          <w:bCs/>
        </w:rPr>
        <w:t xml:space="preserve">Conceptualised and specified</w:t>
      </w:r>
      <w:r>
        <w:t xml:space="preserve"> a rules-based </w:t>
      </w:r>
      <w:r>
        <w:rPr>
          <w:b/>
          <w:bCs/>
        </w:rPr>
        <w:t xml:space="preserve">trading automation solution</w:t>
      </w:r>
      <w:r>
        <w:t xml:space="preserve"> for individual investors and private practices — translating client demand and market analysis into a structured product requirement set covering execution logic, risk controls, and reporting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Conducted </w:t>
      </w:r>
      <w:r>
        <w:rPr>
          <w:b/>
          <w:bCs/>
        </w:rPr>
        <w:t xml:space="preserve">structured competitive and market research</w:t>
      </w:r>
      <w:r>
        <w:t xml:space="preserve"> across retail trading-automation and portfolio-tools providers, benchmarking existing platforms to define pricing and positioning for an individual- and private-practice-focused offering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Defined and documented a </w:t>
      </w:r>
      <w:r>
        <w:rPr>
          <w:b/>
          <w:bCs/>
        </w:rPr>
        <w:t xml:space="preserve">multi-product suite specification</w:t>
      </w:r>
      <w:r>
        <w:t xml:space="preserve"> — covering trading automation, support-ticket triage, order-to-invoice automation, data reconciliation, and business reporting agents — each scoped with clear client use cases ahead of technical build, applying BRD-equivalent requirements discipline</w:t>
      </w:r>
    </w:p>
    <w:p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 xml:space="preserve">Go-to-Market Strategy &amp; Stakeholder Partnerships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Designed a </w:t>
      </w:r>
      <w:r>
        <w:rPr>
          <w:b/>
          <w:bCs/>
        </w:rPr>
        <w:t xml:space="preserve">pilot-client pricing and engagement model</w:t>
      </w:r>
      <w:r>
        <w:t xml:space="preserve"> — a free diagnostic scan followed by a fixed-fee implementation offer — to reduce adoption risk for first clients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Built an initial client pipeline through </w:t>
      </w:r>
      <w:r>
        <w:rPr>
          <w:b/>
          <w:bCs/>
        </w:rPr>
        <w:t xml:space="preserve">referral-based outreach</w:t>
      </w:r>
      <w:r>
        <w:t xml:space="preserve"> within personal and professional networks, prioritising trust-based introductions for early traction</w:t>
      </w:r>
    </w:p>
    <w:p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 xml:space="preserve">Personal Finance Mobile Application (Initial Product Prototype)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rPr>
          <w:b/>
          <w:bCs/>
        </w:rPr>
        <w:t xml:space="preserve">Conceptualised and product-managed</w:t>
      </w:r>
      <w:r>
        <w:t xml:space="preserve"> a personal finance mobile application for the Indian market — defining end-to-end user journeys, functional requirements, feature scope, and acceptance criteria before any build began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Specified core product logic as structured business rules: salary validation thresholds, three-bucket allocation constraints, slider boundary conditions, and plan lock/unlock state behaviour — documenting requirements in a form ready for developer handoff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rPr>
          <w:b/>
          <w:bCs/>
        </w:rPr>
        <w:t xml:space="preserve">Led iterative UAT cycles</w:t>
      </w:r>
      <w:r>
        <w:t xml:space="preserve"> on a working device prototype — identifying navigation defects, validating screen flows against defined requirements, and driving fixes before each new feature was considered complete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Built hands-on familiarity with </w:t>
      </w:r>
      <w:r>
        <w:rPr>
          <w:b/>
          <w:bCs/>
        </w:rPr>
        <w:t xml:space="preserve">application design concepts</w:t>
      </w:r>
      <w:r>
        <w:t xml:space="preserve"> — user journey mapping, persistence logic, navigation state, API integration principles, and UI specification</w:t>
      </w:r>
    </w:p>
    <w:p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 xml:space="preserve">Advanced Prompt Engineering &amp; GenAI Workflow Design</w:t>
      </w:r>
    </w:p>
    <w:p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Built practical expertise in working with large language models to structure and automate complex analytical and documentation tasks — directly applicable to accelerating BA artefact creation including BRD drafting, requirements summarisation, and meeting documentation</w:t>
      </w:r>
    </w:p>
    <w:p>
      <w:pPr>
        <w:spacing w:after="80"/>
      </w:pPr>
    </w:p>
    <w:p w14:paraId="0B6B4C54" w14:textId="3DD387B1" w:rsidR="009E7CE1" w:rsidRDefault="00000000">
      <w:pPr>
        <w:keepNext/>
        <w:spacing w:before="130" w:after="28"/>
      </w:pPr>
      <w:r>
        <w:rPr>
          <w:b/>
          <w:bCs/>
          <w:color w:val="1B3A5C"/>
          <w:sz w:val="20"/>
          <w:szCs w:val="20"/>
        </w:rPr>
        <w:t>Senior Analyst — Client Profitability Reporting &amp; FP&amp;A</w:t>
      </w:r>
      <w:r>
        <w:rPr>
          <w:color w:val="555555"/>
        </w:rPr>
        <w:t xml:space="preserve"> | HSBC</w:t>
      </w:r>
    </w:p>
    <w:p w14:paraId="2E5BF3DB" w14:textId="3C613977" w:rsidR="009E7CE1" w:rsidRDefault="00000000">
      <w:pPr>
        <w:keepNext/>
        <w:spacing w:after="60"/>
      </w:pPr>
      <w:r>
        <w:rPr>
          <w:i/>
          <w:iCs/>
          <w:color w:val="555555"/>
          <w:sz w:val="17"/>
          <w:szCs w:val="17"/>
        </w:rPr>
        <w:t xml:space="preserve">Hyderabad, India • October 2014 – January 2026 (11+ years)</w:t>
      </w:r>
    </w:p>
    <w:p w14:paraId="18A6DB06" w14:textId="77777777" w:rsidR="009E7CE1" w:rsidRDefault="00000000"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>Requirements Gathering &amp; Gap Analysis</w:t>
      </w:r>
    </w:p>
    <w:p w14:paraId="542D2D13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Identified gaps between business reporting needs and existing data/system outputs across </w:t>
      </w:r>
      <w:r>
        <w:rPr>
          <w:b/>
          <w:bCs/>
        </w:rPr>
        <w:t>Global Banking &amp; Markets</w:t>
      </w:r>
      <w:r>
        <w:t>, proposing structured solutions including new report specifications, data reconciliation logic, and automation rules</w:t>
      </w:r>
    </w:p>
    <w:p w14:paraId="64271F12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Translated complex business requirements from VP and CFO-level stakeholders into </w:t>
      </w:r>
      <w:r>
        <w:rPr>
          <w:b/>
          <w:bCs/>
        </w:rPr>
        <w:t>detailed functional specifications</w:t>
      </w:r>
      <w:r>
        <w:t xml:space="preserve"> for reporting workflows, forecasting models, and cost assurance processes</w:t>
      </w:r>
    </w:p>
    <w:p w14:paraId="4BDFE854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Conducted regular </w:t>
      </w:r>
      <w:r>
        <w:rPr>
          <w:b/>
          <w:bCs/>
        </w:rPr>
        <w:t>requirements workshops</w:t>
      </w:r>
      <w:r>
        <w:t xml:space="preserve"> with senior finance leaders to prioritise reporting enhancements, align on scope, and document agreed outcomes — directly mirroring BA discovery-phase facilitation</w:t>
      </w:r>
    </w:p>
    <w:p w14:paraId="67E0C2D8" w14:textId="77777777" w:rsidR="009E7CE1" w:rsidRDefault="00000000"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>Delivery, Testing &amp; UAT</w:t>
      </w:r>
    </w:p>
    <w:p w14:paraId="349FBAA0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Led </w:t>
      </w:r>
      <w:r>
        <w:rPr>
          <w:b/>
          <w:bCs/>
        </w:rPr>
        <w:t>end-to-end delivery</w:t>
      </w:r>
      <w:r>
        <w:t xml:space="preserve"> of reporting and process change initiatives: from requirements sign-off through build review, UAT, business user training, and go-live — owning each stage of the project lifecycle</w:t>
      </w:r>
    </w:p>
    <w:p w14:paraId="6EC76403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>Reviewed and executed test cases for system and report changes, working closely with technical teams to validate outputs against business requirements before deployment</w:t>
      </w:r>
    </w:p>
    <w:p w14:paraId="7254C9C3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>Trained business users across regions on new reporting frameworks, ensuring adoption and operational readiness — equivalent to business change management in system rollout programs</w:t>
      </w:r>
    </w:p>
    <w:p w14:paraId="39CD35A7" w14:textId="77777777" w:rsidR="009E7CE1" w:rsidRDefault="00000000"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>Stakeholder Management &amp; Consulting</w:t>
      </w:r>
    </w:p>
    <w:p w14:paraId="10900C3B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Served as the </w:t>
      </w:r>
      <w:r>
        <w:rPr>
          <w:b/>
          <w:bCs/>
        </w:rPr>
        <w:t>primary business interface</w:t>
      </w:r>
      <w:r>
        <w:t xml:space="preserve"> between Finance, Operations, and Technology for all reporting matters — acting as an internal consultant trusted to frame problems, challenge assumptions, and recommend solutions</w:t>
      </w:r>
    </w:p>
    <w:p w14:paraId="0131EEA2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>Produced executive-ready commentary and findings for Monthly and Quarterly ExCo packs, presenting to product CFOs — building the communication and influencing skills central to senior BA work</w:t>
      </w:r>
    </w:p>
    <w:p w14:paraId="739C5CFE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Owned </w:t>
      </w:r>
      <w:r>
        <w:rPr>
          <w:b/>
          <w:bCs/>
        </w:rPr>
        <w:t>end-to-end assurance</w:t>
      </w:r>
      <w:r>
        <w:t xml:space="preserve"> between Cost Centre and Client reporting layers, maintaining traceability of changes and ensuring consistency across workstreams — equivalent to RTM governance in project delivery</w:t>
      </w:r>
    </w:p>
    <w:p w14:paraId="50A8798E" w14:textId="77777777" w:rsidR="009E7CE1" w:rsidRDefault="00000000"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>Process Improvement &amp; Automation</w:t>
      </w:r>
    </w:p>
    <w:p w14:paraId="6A4C1693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Drove report optimisation and </w:t>
      </w:r>
      <w:r>
        <w:rPr>
          <w:b/>
          <w:bCs/>
        </w:rPr>
        <w:t>process re-engineering initiatives</w:t>
      </w:r>
      <w:r>
        <w:t xml:space="preserve"> that measurably reduced FTE effort across the reporting team — identifying inefficiencies, documenting current vs target state, and implementing solutions</w:t>
      </w:r>
    </w:p>
    <w:p w14:paraId="040AE504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Designed and implemented </w:t>
      </w:r>
      <w:r>
        <w:rPr>
          <w:b/>
          <w:bCs/>
        </w:rPr>
        <w:t>automated weekly, monthly, and quarterly workflows</w:t>
      </w:r>
      <w:r>
        <w:t xml:space="preserve"> for reporting, forecasting, and budgeting — translating manual process requirements into systematic, repeatable outputs</w:t>
      </w:r>
    </w:p>
    <w:p w14:paraId="3100753D" w14:textId="770955A2" w:rsidR="009E7CE1" w:rsidRDefault="00000000"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lastRenderedPageBreak/>
        <w:t>Transition Program — Paris to Hyderabad (Global Banking &amp; Markets FP&amp;A)</w:t>
      </w:r>
    </w:p>
    <w:p w14:paraId="799E7422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rPr>
          <w:b/>
          <w:bCs/>
        </w:rPr>
        <w:t>Led the full knowledge transfer and process migration</w:t>
      </w:r>
      <w:r>
        <w:t xml:space="preserve"> of the Global Banking &amp; Markets FP&amp;A function from Paris to Hyderabad — a structured program involving process documentation, stakeholder alignment, training, and go-live delivery</w:t>
      </w:r>
    </w:p>
    <w:p w14:paraId="4EDA276C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>Managed timelines, tracked deliverables, and coordinated across geographies — demonstrating the multi-workstream program management capability required at senior BA level</w:t>
      </w:r>
    </w:p>
    <w:p w14:paraId="222749CE" w14:textId="77777777" w:rsidR="009E7CE1" w:rsidRDefault="00000000">
      <w:pPr>
        <w:keepNext/>
        <w:spacing w:before="60" w:after="45"/>
      </w:pPr>
      <w:r>
        <w:rPr>
          <w:b/>
          <w:bCs/>
          <w:color w:val="2F5496"/>
          <w:sz w:val="17"/>
          <w:szCs w:val="17"/>
        </w:rPr>
        <w:t>Mentoring &amp; Team Leadership</w:t>
      </w:r>
    </w:p>
    <w:p w14:paraId="58472912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>Mentored junior analysts on reporting standards, analytical techniques, and stakeholder communication — acting as a day-to-day guide and raising overall team capability</w:t>
      </w:r>
    </w:p>
    <w:p w14:paraId="3CFF6B16" w14:textId="6F953A13" w:rsidR="009E7CE1" w:rsidRDefault="00000000">
      <w:pPr>
        <w:keepNext/>
        <w:spacing w:before="130" w:after="28"/>
      </w:pPr>
      <w:r>
        <w:rPr>
          <w:b/>
          <w:bCs/>
          <w:color w:val="1B3A5C"/>
          <w:sz w:val="20"/>
          <w:szCs w:val="20"/>
        </w:rPr>
        <w:t xml:space="preserve">FP&amp;A Analyst — Global IT &amp; EADP Division</w:t>
      </w:r>
      <w:r>
        <w:rPr>
          <w:color w:val="555555"/>
        </w:rPr>
        <w:t xml:space="preserve"> |  </w:t>
      </w:r>
      <w:r>
        <w:rPr>
          <w:b/>
          <w:bCs/>
          <w:color w:val="1B3A5C"/>
        </w:rPr>
        <w:t>Electronic Arts</w:t>
      </w:r>
    </w:p>
    <w:p w14:paraId="2DBBF2C6" w14:textId="77777777" w:rsidR="009E7CE1" w:rsidRDefault="00000000">
      <w:pPr>
        <w:keepNext/>
        <w:spacing w:after="60"/>
      </w:pPr>
      <w:r>
        <w:rPr>
          <w:i/>
          <w:iCs/>
          <w:color w:val="555555"/>
          <w:sz w:val="17"/>
          <w:szCs w:val="17"/>
        </w:rPr>
        <w:t>Hyderabad, India  •  June 2011 – October 2014</w:t>
      </w:r>
    </w:p>
    <w:p w14:paraId="1E5D7038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Served as </w:t>
      </w:r>
      <w:r>
        <w:rPr>
          <w:b/>
          <w:bCs/>
        </w:rPr>
        <w:t>primary analyst and business interface</w:t>
      </w:r>
      <w:r>
        <w:t xml:space="preserve"> for a USD 136M annual budget division, managing requirements, timelines, and deliverables across geographies — practising BA-style scoping, prioritisation, and governance</w:t>
      </w:r>
    </w:p>
    <w:p w14:paraId="01A6E977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Led the </w:t>
      </w:r>
      <w:r>
        <w:rPr>
          <w:b/>
          <w:bCs/>
        </w:rPr>
        <w:t>FP&amp;A transition for EADP from Redwood Shores, USA to Hyderabad</w:t>
      </w:r>
      <w:r>
        <w:t xml:space="preserve"> — structured knowledge transfer, stakeholder workshops, process documentation, and go-live support</w:t>
      </w:r>
    </w:p>
    <w:p w14:paraId="7B573AE4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Ran </w:t>
      </w:r>
      <w:r>
        <w:rPr>
          <w:b/>
          <w:bCs/>
        </w:rPr>
        <w:t>market and business analysis</w:t>
      </w:r>
      <w:r>
        <w:t xml:space="preserve"> by segment, product, and region; identified cost optimisation opportunities and recommended solutions to senior leadership — directly analogous to BA discovery and business case work</w:t>
      </w:r>
    </w:p>
    <w:p w14:paraId="5C7B33AA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Coordinated with budget owners across geographies for annual plans and monthly forecasts, </w:t>
      </w:r>
      <w:r>
        <w:rPr>
          <w:b/>
          <w:bCs/>
        </w:rPr>
        <w:t>managing competing priorities</w:t>
      </w:r>
      <w:r>
        <w:t xml:space="preserve"> across multiple concurrent workstreams</w:t>
      </w:r>
    </w:p>
    <w:p w14:paraId="7D79E948" w14:textId="77777777" w:rsidR="009E7CE1" w:rsidRDefault="00000000">
      <w:pPr>
        <w:keepNext/>
        <w:spacing w:before="130" w:after="28"/>
      </w:pPr>
      <w:r>
        <w:rPr>
          <w:b/>
          <w:bCs/>
          <w:color w:val="1B3A5C"/>
          <w:sz w:val="20"/>
          <w:szCs w:val="20"/>
        </w:rPr>
        <w:t>FP&amp;A Analyst</w:t>
      </w:r>
      <w:r>
        <w:rPr>
          <w:color w:val="555555"/>
        </w:rPr>
        <w:t xml:space="preserve">  |  </w:t>
      </w:r>
      <w:r>
        <w:rPr>
          <w:b/>
          <w:bCs/>
          <w:color w:val="1B3A5C"/>
        </w:rPr>
        <w:t>Deloitte</w:t>
      </w:r>
    </w:p>
    <w:p w14:paraId="48F757E8" w14:textId="77777777" w:rsidR="009E7CE1" w:rsidRDefault="00000000">
      <w:pPr>
        <w:keepNext/>
        <w:spacing w:after="60"/>
      </w:pPr>
      <w:r>
        <w:rPr>
          <w:i/>
          <w:iCs/>
          <w:color w:val="555555"/>
          <w:sz w:val="17"/>
          <w:szCs w:val="17"/>
        </w:rPr>
        <w:t>Hyderabad, India  •  November 2006 – June 2011</w:t>
      </w:r>
    </w:p>
    <w:p w14:paraId="53F436B9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Provided </w:t>
      </w:r>
      <w:r>
        <w:rPr>
          <w:b/>
          <w:bCs/>
        </w:rPr>
        <w:t>structured financial analysis and variance commentary</w:t>
      </w:r>
      <w:r>
        <w:t xml:space="preserve"> to US Finance Managers — practising the documentation, reasoning, and communication skills foundational to business analysis</w:t>
      </w:r>
    </w:p>
    <w:p w14:paraId="5AE43012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 xml:space="preserve">Selected as a </w:t>
      </w:r>
      <w:r>
        <w:rPr>
          <w:b/>
          <w:bCs/>
        </w:rPr>
        <w:t>key implementation team member</w:t>
      </w:r>
      <w:r>
        <w:t xml:space="preserve"> for the Hyperion Planning and Reporting Suite rollout across Deloitte — involved in requirements, testing, user training, and adoption support across teams</w:t>
      </w:r>
    </w:p>
    <w:p w14:paraId="7F150CB5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rPr>
          <w:b/>
          <w:bCs/>
        </w:rPr>
        <w:t>Eliminated 15 manual reports</w:t>
      </w:r>
      <w:r>
        <w:t xml:space="preserve"> by designing an automated dashboard-based quarterly reconciliation — end-to-end process improvement initiative with documented scope, solution design, and measurable outcome</w:t>
      </w:r>
    </w:p>
    <w:p w14:paraId="65958AB7" w14:textId="77777777" w:rsidR="009E7CE1" w:rsidRDefault="00000000">
      <w:pPr>
        <w:spacing w:after="55"/>
        <w:ind w:left="360" w:hanging="200"/>
      </w:pPr>
      <w:r>
        <w:rPr>
          <w:b/>
          <w:bCs/>
          <w:color w:val="2F5496"/>
        </w:rPr>
        <w:t xml:space="preserve">• </w:t>
      </w:r>
      <w:r>
        <w:t>Mentored team members, led annual appraisals, and set team objectives — consistent with the coaching responsibility expected at senior BA level</w:t>
      </w:r>
    </w:p>
    <w:p w14:paraId="34F77E33" w14:textId="77777777" w:rsidR="009E7CE1" w:rsidRDefault="009E7CE1">
      <w:pPr>
        <w:spacing w:after="80"/>
      </w:pPr>
    </w:p>
    <w:p w14:paraId="5BCE03CB" w14:textId="6ABFC59C" w:rsidR="009E7CE1" w:rsidRDefault="00000000">
      <w:pPr>
        <w:keepNext/>
        <w:pBdr>
          <w:bottom w:val="single" w:sz="8" w:space="0" w:color="1B3A5C"/>
        </w:pBdr>
        <w:spacing w:before="160" w:after="60"/>
      </w:pPr>
      <w:r>
        <w:rPr>
          <w:b/>
          <w:bCs/>
          <w:color w:val="1B3A5C"/>
          <w:sz w:val="20"/>
          <w:szCs w:val="20"/>
        </w:rPr>
        <w:lastRenderedPageBreak/>
        <w:t>EDUCATION</w:t>
      </w:r>
    </w:p>
    <w:p w14:paraId="09745E76" w14:textId="77777777" w:rsidR="009E7CE1" w:rsidRDefault="00000000">
      <w:pPr>
        <w:spacing w:before="60" w:after="30"/>
      </w:pPr>
      <w:r>
        <w:rPr>
          <w:b/>
          <w:bCs/>
          <w:color w:val="1B3A5C"/>
        </w:rPr>
        <w:t>MBA, Finance</w:t>
      </w:r>
      <w:r>
        <w:t xml:space="preserve">  —  Jawaharlal Nehru Technological University (JNTU), Hyderabad  |  2006</w:t>
      </w:r>
    </w:p>
    <w:p w14:paraId="505894EE" w14:textId="77777777" w:rsidR="009E7CE1" w:rsidRDefault="00000000">
      <w:pPr>
        <w:spacing w:after="30"/>
      </w:pPr>
      <w:r>
        <w:rPr>
          <w:b/>
          <w:bCs/>
          <w:color w:val="1B3A5C"/>
        </w:rPr>
        <w:t>M.Com</w:t>
      </w:r>
      <w:r>
        <w:t xml:space="preserve">  —  Osmania University, Hyderabad  |  2004</w:t>
      </w:r>
    </w:p>
    <w:p w14:paraId="715653E9" w14:textId="77777777" w:rsidR="009E7CE1" w:rsidRDefault="00000000">
      <w:pPr>
        <w:keepNext/>
        <w:spacing w:after="60"/>
      </w:pPr>
      <w:r>
        <w:rPr>
          <w:b/>
          <w:bCs/>
          <w:color w:val="1B3A5C"/>
        </w:rPr>
        <w:t>B.Com</w:t>
      </w:r>
      <w:r>
        <w:t xml:space="preserve">  —  S.V. University, Tirupati  |  2002</w:t>
      </w:r>
    </w:p>
    <w:p w14:paraId="17DE0F9A" w14:textId="77777777" w:rsidR="009E7CE1" w:rsidRDefault="00000000" w:rsidP="001E35C5">
      <w:pPr>
        <w:pBdr>
          <w:top w:val="single" w:sz="8" w:space="0" w:color="1B3A5C"/>
        </w:pBdr>
        <w:spacing w:before="60"/>
      </w:pPr>
      <w:r>
        <w:rPr>
          <w:b/>
          <w:bCs/>
          <w:color w:val="2F5496"/>
          <w:sz w:val="17"/>
          <w:szCs w:val="17"/>
        </w:rPr>
        <w:t xml:space="preserve">Open to: </w:t>
      </w:r>
      <w:r>
        <w:rPr>
          <w:color w:val="555555"/>
          <w:sz w:val="17"/>
          <w:szCs w:val="17"/>
        </w:rPr>
        <w:t>Business Analyst  |  Senior Business Analyst  |  Principal Business Analyst  |  Permanent  |  Hybrid  |  Remote</w:t>
      </w:r>
    </w:p>
    <w:sectPr w:rsidR="009E7CE1">
      <w:pgSz w:w="12240" w:h="15840"/>
      <w:pgMar w:top="936" w:right="1008" w:bottom="936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42C13"/>
    <w:multiLevelType w:val="hybridMultilevel"/>
    <w:tmpl w:val="F848A4FC"/>
    <w:lvl w:ilvl="0" w:tplc="CE2045C2">
      <w:start w:val="1"/>
      <w:numFmt w:val="bullet"/>
      <w:lvlText w:val="●"/>
      <w:lvlJc w:val="left"/>
      <w:pPr>
        <w:ind w:left="720" w:hanging="360"/>
      </w:pPr>
    </w:lvl>
    <w:lvl w:ilvl="1" w:tplc="A628D6CA">
      <w:start w:val="1"/>
      <w:numFmt w:val="bullet"/>
      <w:lvlText w:val="○"/>
      <w:lvlJc w:val="left"/>
      <w:pPr>
        <w:ind w:left="1440" w:hanging="360"/>
      </w:pPr>
    </w:lvl>
    <w:lvl w:ilvl="2" w:tplc="C0C6F07E">
      <w:start w:val="1"/>
      <w:numFmt w:val="bullet"/>
      <w:lvlText w:val="■"/>
      <w:lvlJc w:val="left"/>
      <w:pPr>
        <w:ind w:left="2160" w:hanging="360"/>
      </w:pPr>
    </w:lvl>
    <w:lvl w:ilvl="3" w:tplc="D0FA7EB8">
      <w:start w:val="1"/>
      <w:numFmt w:val="bullet"/>
      <w:lvlText w:val="●"/>
      <w:lvlJc w:val="left"/>
      <w:pPr>
        <w:ind w:left="2880" w:hanging="360"/>
      </w:pPr>
    </w:lvl>
    <w:lvl w:ilvl="4" w:tplc="C9BEFD94">
      <w:start w:val="1"/>
      <w:numFmt w:val="bullet"/>
      <w:lvlText w:val="○"/>
      <w:lvlJc w:val="left"/>
      <w:pPr>
        <w:ind w:left="3600" w:hanging="360"/>
      </w:pPr>
    </w:lvl>
    <w:lvl w:ilvl="5" w:tplc="D2B4EFF2">
      <w:start w:val="1"/>
      <w:numFmt w:val="bullet"/>
      <w:lvlText w:val="■"/>
      <w:lvlJc w:val="left"/>
      <w:pPr>
        <w:ind w:left="4320" w:hanging="360"/>
      </w:pPr>
    </w:lvl>
    <w:lvl w:ilvl="6" w:tplc="B08A3A7E">
      <w:start w:val="1"/>
      <w:numFmt w:val="bullet"/>
      <w:lvlText w:val="●"/>
      <w:lvlJc w:val="left"/>
      <w:pPr>
        <w:ind w:left="5040" w:hanging="360"/>
      </w:pPr>
    </w:lvl>
    <w:lvl w:ilvl="7" w:tplc="755602E0">
      <w:start w:val="1"/>
      <w:numFmt w:val="bullet"/>
      <w:lvlText w:val="●"/>
      <w:lvlJc w:val="left"/>
      <w:pPr>
        <w:ind w:left="5760" w:hanging="360"/>
      </w:pPr>
    </w:lvl>
    <w:lvl w:ilvl="8" w:tplc="A7A6F616">
      <w:start w:val="1"/>
      <w:numFmt w:val="bullet"/>
      <w:lvlText w:val="●"/>
      <w:lvlJc w:val="left"/>
      <w:pPr>
        <w:ind w:left="6480" w:hanging="360"/>
      </w:pPr>
    </w:lvl>
  </w:abstractNum>
  <w:num w:numId="1" w16cid:durableId="7300345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E1"/>
    <w:rsid w:val="001E35C5"/>
    <w:rsid w:val="00987E2B"/>
    <w:rsid w:val="009E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242FE"/>
  <w15:docId w15:val="{78A28E47-CFEB-4306-88E7-C80B65AF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D2D2D"/>
        <w:sz w:val="18"/>
        <w:szCs w:val="18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1328</Words>
  <Characters>7576</Characters>
  <Application>Microsoft Office Word</Application>
  <DocSecurity>0</DocSecurity>
  <Lines>63</Lines>
  <Paragraphs>17</Paragraphs>
  <ScaleCrop>false</ScaleCrop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Ramesh P</cp:lastModifiedBy>
  <cp:revision>2</cp:revision>
  <dcterms:created xsi:type="dcterms:W3CDTF">2026-07-15T12:24:00Z</dcterms:created>
  <dcterms:modified xsi:type="dcterms:W3CDTF">2026-07-15T12:38:00Z</dcterms:modified>
</cp:coreProperties>
</file>